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MsoTitle"/>
        <w:spacing w:lineRule="auto" w:line="360" w:before="240" w:after="60"/>
        <w:ind w:firstLine="737" w:left="0" w:right="0"/>
        <w:jc w:val="center"/>
        <w:rPr>
          <w:b/>
          <w:sz w:val="36"/>
        </w:rPr>
      </w:pPr>
      <w:r>
        <w:rPr>
          <w:b/>
          <w:sz w:val="36"/>
        </w:rPr>
        <w:t xml:space="preserve">Протокол №231-ЭТП-У/2 об определении участников торгов 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 xml:space="preserve">450059, Республика Башкортостан, г. Уфа, ул. Рихарда Зорге, д. 9 к. 4, помещ. 5 </w:t>
            </w:r>
          </w:p>
        </w:tc>
        <w:tc>
          <w:tcPr>
            <w:tcW w:w="5103" w:type="dxa"/>
            <w:tcBorders/>
          </w:tcPr>
          <w:p>
            <w:pPr>
              <w:pStyle w:val="MsoNormal"/>
              <w:spacing w:before="0" w:after="283"/>
              <w:ind w:hanging="0" w:left="0" w:right="0"/>
              <w:jc w:val="right"/>
              <w:rPr/>
            </w:pPr>
            <w:r>
              <w:rPr/>
              <w:t xml:space="preserve">11 сентября 2026 г.</w:t>
            </w:r>
          </w:p>
        </w:tc>
      </w:tr>
    </w:tbl>
    <w:p>
      <w:pPr>
        <w:pStyle w:val="MsoListParagraph"/>
        <w:rPr/>
      </w:pPr>
      <w:r>
        <w:rPr/>
        <w:t xml:space="preserve">1.   Организатор торгов </w:t>
      </w:r>
    </w:p>
    <w:p>
      <w:pPr>
        <w:pStyle w:val="BodyText"/>
        <w:rPr/>
      </w:pPr>
      <w:r>
        <w:rPr>
          <w:b/>
        </w:rPr>
        <w:t xml:space="preserve">Илларионов Игорь Станиславович</w:t>
      </w:r>
      <w:r>
        <w:rPr/>
        <w:t>;</w:t>
        <w:br/>
        <w:t xml:space="preserve">Почтовый адрес: </w:t>
      </w:r>
      <w:r>
        <w:rPr>
          <w:b/>
        </w:rPr>
        <w:t xml:space="preserve">450007, Россия, Республика Башкортостан, Уфа, Марта, Ярмарочная, д. 15</w:t>
      </w:r>
      <w:r>
        <w:rPr/>
        <w:t>;</w:t>
        <w:br/>
        <w:t xml:space="preserve">Адрес электронной почты: </w:t>
      </w:r>
      <w:r>
        <w:rPr>
          <w:b/>
        </w:rPr>
        <w:t xml:space="preserve">adskfnnkvsdjf@mail.ru;</w:t>
      </w:r>
      <w:r>
        <w:rPr/>
        <w:br/>
        <w:t xml:space="preserve">Номер телефона: </w:t>
      </w:r>
      <w:r>
        <w:rPr>
          <w:b/>
        </w:rPr>
        <w:t xml:space="preserve">+79886209988</w:t>
      </w:r>
      <w:r>
        <w:rPr/>
        <w:t>;</w:t>
      </w:r>
    </w:p>
    <w:p>
      <w:pPr>
        <w:pStyle w:val="MsoListParagraph"/>
        <w:rPr/>
      </w:pPr>
      <w:r>
        <w:rPr/>
        <w:t>2.   Информация о торгах и лоте</w:t>
      </w:r>
    </w:p>
    <w:p>
      <w:pPr>
        <w:pStyle w:val="BodyText"/>
        <w:rPr/>
      </w:pPr>
      <w:r>
        <w:rPr/>
        <w:t xml:space="preserve">Открытые торги в форме аукциона. Форма представления предложений о цене открытая.</w:t>
        <w:br/>
        <w:t xml:space="preserve">Должник: </w:t>
      </w:r>
      <w:r>
        <w:rPr>
          <w:b/>
        </w:rPr>
        <w:t xml:space="preserve">Общество с ограниченной ответственностью "ИНЖ-ПРОФИТ"</w:t>
      </w:r>
      <w:r>
        <w:rPr/>
        <w:br/>
        <w:t xml:space="preserve">Номер лота: </w:t>
      </w:r>
      <w:r>
        <w:rPr>
          <w:b/>
        </w:rPr>
        <w:t xml:space="preserve">2</w:t>
      </w:r>
      <w:r>
        <w:rPr/>
        <w:br/>
        <w:t xml:space="preserve">Наименование лота: </w:t>
      </w:r>
      <w:r>
        <w:rPr>
          <w:b/>
        </w:rPr>
        <w:t xml:space="preserve">Помещение Нежилое помещение 144 кв.м в Нижегородская область</w:t>
      </w:r>
      <w:r>
        <w:rPr/>
        <w:t xml:space="preserve"> </w:t>
        <w:br/>
        <w:t xml:space="preserve">Сведения об имуществе, его составе, характеристиках, описание, порядок ознакомления: </w:t>
      </w:r>
      <w:r>
        <w:rPr>
          <w:b/>
        </w:rPr>
        <w:t xml:space="preserve">Недвижимость; кадастровый (или условный) номер: 52:07:0900014:360; тип объекта: Здание; вид сооружения: Иное; значение: 81.20; полезная площадь (кв.м.): 0.00; этажность: 0. Адрес: Нижегородская область, р-он Сокольский, дер. Коренево, ул. Соколова, д.12, пом. П.1. - Недвижимость; кадастровый (или условный) номер: 52:07:0900014:359; тип объекта: Здание; вид сооружения: Иное; значение: 144.00, полезная площадь (кв.м.): 0.00; этажность: 0. Адрес: Нижегородская область, р-он Сокольский, дер. Коренево, ул. Соколова, д.12, пом. П.2. - Земельный участок; назначение (расширенное использование): Для ведения личного подсобного хозяйства; категория земель (Справочник "Категория земель"): прочее; кадастровый (или условный) номер: 52:07:0900014:144; значение: 1020.00. Адрес: Нижегородская область, р-он Сокольский, дер. Коренево, ул. Соколова, земельный участок 12. Ознакомление с имуществом - по месту его нахождения, предварительно согласовав дату и время ознакомления по телефону: 8-999-138-29-48, либо по электронной почте Antonperlovsky@yandex.ru, с 10 часов 00 минут до 17 часов 00 минут по местному времени (кроме выходных и нерабочих праздничных дней).</w:t>
      </w:r>
      <w:r>
        <w:rPr/>
        <w:t xml:space="preserve"> </w:t>
      </w:r>
    </w:p>
    <w:p>
      <w:pPr>
        <w:pStyle w:val="MsoListParagraph"/>
        <w:rPr/>
      </w:pPr>
      <w:r>
        <w:rPr/>
        <w:t>3.   Место и срок представления заявок на участие в торгах</w:t>
      </w:r>
    </w:p>
    <w:p>
      <w:pPr>
        <w:pStyle w:val="BodyText"/>
        <w:rPr/>
      </w:pPr>
      <w:r>
        <w:rPr/>
        <w:t xml:space="preserve">Место: </w:t>
      </w:r>
      <w:r>
        <w:rPr>
          <w:b/>
        </w:rPr>
        <w:t xml:space="preserve">В сети Интернет на сайте по адресу https://lotrf.ru/</w:t>
      </w:r>
      <w:r>
        <w:rPr/>
        <w:br/>
        <w:t xml:space="preserve">Дата начала представления заявок на участие: </w:t>
      </w:r>
      <w:r>
        <w:rPr>
          <w:b/>
        </w:rPr>
        <w:t xml:space="preserve">11.09.2026 11:45:00</w:t>
      </w:r>
      <w:r>
        <w:rPr/>
        <w:br/>
        <w:t xml:space="preserve">Дата окончания представления заявок на участие: </w:t>
      </w:r>
      <w:r>
        <w:rPr>
          <w:b/>
        </w:rPr>
        <w:t xml:space="preserve">11.09.2026 11:55:00</w:t>
      </w:r>
    </w:p>
    <w:p>
      <w:pPr>
        <w:pStyle w:val="MsoListParagraph"/>
        <w:rPr/>
      </w:pPr>
      <w:r>
        <w:rPr/>
        <w:t>4.   Перечень зарегистрированных заявок</w:t>
      </w:r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10"/>
        <w:gridCol w:w="1911"/>
        <w:gridCol w:w="5976"/>
        <w:gridCol w:w="1508"/>
      </w:tblGrid>
      <w:tr>
        <w:trPr/>
        <w:tc>
          <w:tcPr>
            <w:tcW w:w="810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>№</w:t>
            </w:r>
          </w:p>
        </w:tc>
        <w:tc>
          <w:tcPr>
            <w:tcW w:w="191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Дата подачи заявки</w:t>
            </w:r>
          </w:p>
        </w:tc>
        <w:tc>
          <w:tcPr>
            <w:tcW w:w="5976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Информация о заявителе</w:t>
            </w:r>
          </w:p>
        </w:tc>
        <w:tc>
          <w:tcPr>
            <w:tcW w:w="1508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rPr>
                <w:b/>
              </w:rPr>
            </w:pPr>
            <w:r>
              <w:rPr>
                <w:b/>
              </w:rPr>
              <w:t>Статус заявки</w:t>
            </w:r>
          </w:p>
        </w:tc>
      </w:tr>
    </w:tbl>
    <w:p>
      <w:pPr>
        <w:pStyle w:val="MsoListParagraph"/>
        <w:rPr/>
      </w:pPr>
      <w:r>
        <w:rPr/>
        <w:t>5.   Перечень заявителей, допущенных к участию в торгах</w:t>
      </w:r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10"/>
        <w:gridCol w:w="2158"/>
        <w:gridCol w:w="7237"/>
      </w:tblGrid>
      <w:tr>
        <w:trPr/>
        <w:tc>
          <w:tcPr>
            <w:tcW w:w="810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>№</w:t>
            </w:r>
          </w:p>
        </w:tc>
        <w:tc>
          <w:tcPr>
            <w:tcW w:w="2158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Дата подачи заявки</w:t>
            </w:r>
          </w:p>
        </w:tc>
        <w:tc>
          <w:tcPr>
            <w:tcW w:w="7237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rPr>
                <w:b/>
              </w:rPr>
            </w:pPr>
            <w:r>
              <w:rPr>
                <w:b/>
              </w:rPr>
              <w:t>Информация о заявителе</w:t>
            </w:r>
          </w:p>
        </w:tc>
      </w:tr>
    </w:tbl>
    <w:p>
      <w:pPr>
        <w:pStyle w:val="MsoListParagraph"/>
        <w:rPr/>
      </w:pPr>
      <w:r>
        <w:rPr/>
        <w:t xml:space="preserve"/>
      </w:r>
    </w:p>
    <w:p>
      <w:pPr>
        <w:pStyle w:val="BodyText"/>
        <w:spacing w:before="0" w:after="140"/>
        <w:rPr/>
      </w:pPr>
      <w:r>
        <w:rPr/>
        <w:t>Оператор электронной площадки в течение пяти календарных дней со дня получения данного протокола направляет всем заявителям в форме электронного документа уведомление о признании их участниками торгов или об отказе в признании участниками торгов, с приложением копии протокола об определении участников торгов.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Протокол подписан Организатором торгов 11.09.2026 11:58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(ID электронной подписи - 029389D30076B34A994B84A1513C163B45)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DejaVu Serif">
    <w:charset w:val="01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Cambri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DejaVu Serif" w:hAnsi="DejaVu Serif" w:eastAsia="DejaVu Serif" w:cs="DejaVu Serif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DejaVu Serif" w:hAnsi="DejaVu Serif" w:eastAsia="DejaVu Serif" w:cs="DejaVu Serif"/>
      <w:color w:val="auto"/>
      <w:kern w:val="0"/>
      <w:sz w:val="20"/>
      <w:szCs w:val="20"/>
      <w:lang w:val="ru-RU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2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243F60"/>
      <w:position w:val="0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/>
      <w:iCs/>
      <w:caps w:val="false"/>
      <w:smallCaps w:val="false"/>
      <w:strike w:val="false"/>
      <w:dstrike w:val="false"/>
      <w:color w:val="366091"/>
      <w:position w:val="0"/>
      <w:sz w:val="20"/>
      <w:szCs w:val="20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20"/>
      <w:szCs w:val="20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243F60"/>
      <w:position w:val="0"/>
      <w:sz w:val="20"/>
      <w:szCs w:val="20"/>
      <w:u w:val="none"/>
      <w:shd w:fill="auto" w:val="clear"/>
      <w:vertAlign w:val="baseline"/>
    </w:rPr>
  </w:style>
  <w:style w:type="paragraph" w:styleId="Style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9">
    <w:name w:val="Указатель"/>
    <w:basedOn w:val="Normal"/>
    <w:qFormat/>
    <w:pPr>
      <w:suppressLineNumbers/>
    </w:pPr>
    <w:rPr>
      <w:rFonts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 Devanagari"/>
    </w:rPr>
  </w:style>
  <w:style w:type="paragraph" w:styleId="normal1" w:default="1">
    <w:name w:val="normal1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DejaVu Serif" w:hAnsi="DejaVu Serif" w:eastAsia="DejaVu Serif" w:cs="DejaVu Serif"/>
      <w:color w:val="auto"/>
      <w:kern w:val="0"/>
      <w:sz w:val="20"/>
      <w:szCs w:val="20"/>
      <w:lang w:val="ru-RU" w:eastAsia="zh-CN" w:bidi="hi-IN"/>
    </w:rPr>
  </w:style>
  <w:style w:type="paragraph" w:styleId="Title">
    <w:name w:val="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2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position w:val="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59" w:before="0" w:after="160"/>
      <w:ind w:hanging="0" w:left="0" w:right="0"/>
      <w:jc w:val="left"/>
    </w:pPr>
    <w:rPr>
      <w:rFonts w:ascii="DejaVu Serif" w:hAnsi="DejaVu Serif" w:eastAsia="DejaVu Serif" w:cs="DejaVu Serif"/>
      <w:b w:val="false"/>
      <w:bCs w:val="false"/>
      <w:i w:val="false"/>
      <w:iCs w:val="false"/>
      <w:caps w:val="false"/>
      <w:smallCaps w:val="false"/>
      <w:strike w:val="false"/>
      <w:dstrike w:val="false"/>
      <w:color w:val="5A5A5A"/>
      <w:position w:val="0"/>
      <w:sz w:val="20"/>
      <w:szCs w:val="20"/>
      <w:u w:val="none"/>
      <w:shd w:fill="auto" w:val="clear"/>
      <w:vertAlign w:val="baseline"/>
    </w:rPr>
  </w:style>
  <w:style w:type="paragraph" w:styleId="MsoTitle">
    <w:name w:val="Основной текст.MsoTitle"/>
    <w:basedOn w:val="BodyText"/>
    <w:qFormat/>
    <w:pPr>
      <w:keepNext w:val="true"/>
      <w:spacing w:lineRule="auto" w:line="480" w:before="240" w:after="60"/>
      <w:ind w:firstLine="737" w:left="0" w:right="0"/>
      <w:jc w:val="center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MsoNormal">
    <w:name w:val="Основной текст.MsoNormal"/>
    <w:basedOn w:val="BodyText"/>
    <w:qFormat/>
    <w:pPr>
      <w:spacing w:before="0" w:after="0"/>
      <w:ind w:left="0" w:right="0"/>
    </w:pPr>
    <w:rPr/>
  </w:style>
  <w:style w:type="paragraph" w:styleId="MsoListParagraph">
    <w:name w:val="Основной текст.MsoListParagraph"/>
    <w:basedOn w:val="BodyText"/>
    <w:qFormat/>
    <w:pPr>
      <w:ind w:hanging="360" w:left="360"/>
    </w:pPr>
    <w:rPr/>
  </w:style>
  <w:style w:type="paragraph" w:styleId="Style10">
    <w:name w:val="Содержимое таблицы"/>
    <w:basedOn w:val="Normal"/>
    <w:qFormat/>
    <w:pPr>
      <w:widowControl w:val="false"/>
      <w:suppressLineNumbers/>
    </w:pPr>
    <w:rPr/>
  </w:style>
  <w:style w:type="paragraph" w:styleId="Style11">
    <w:name w:val="Заголовок таблицы"/>
    <w:basedOn w:val="Style10"/>
    <w:qFormat/>
    <w:pPr>
      <w:suppressLineNumbers/>
      <w:jc w:val="center"/>
    </w:pPr>
    <w:rPr>
      <w:b/>
      <w:bCs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_rels/fontTable.xml.rels><?xml version='1.0' encoding='UTF-8' standalone='yes'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93</TotalTime>
  <Application>LibreOffice/26.2.5.2$Linux_X86_64 LibreOffice_project/6d2b0d33fb0f5da53a12f98bed3e9973e56ff1f0</Application>
  <AppVersion>15.0000</AppVersion>
  <Pages>2</Pages>
  <Words>285</Words>
  <Characters>1834</Characters>
  <CharactersWithSpaces>2088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2026-09-10T11:52:25Z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